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color w:val="262626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26262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262626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262626"/>
          <w:sz w:val="56"/>
          <w:szCs w:val="56"/>
        </w:rPr>
      </w:pPr>
      <w:r w:rsidDel="00000000" w:rsidR="00000000" w:rsidRPr="00000000">
        <w:rPr>
          <w:b w:val="1"/>
          <w:color w:val="262626"/>
          <w:sz w:val="56"/>
          <w:szCs w:val="56"/>
          <w:rtl w:val="0"/>
        </w:rPr>
        <w:t xml:space="preserve">Area Senior Clinic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01684" cy="1162050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1684" cy="1162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With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International Show Jumper and Event Rider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7030a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7030a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000000"/>
          <w:sz w:val="56"/>
          <w:szCs w:val="56"/>
        </w:rPr>
      </w:pPr>
      <w:r w:rsidDel="00000000" w:rsidR="00000000" w:rsidRPr="00000000">
        <w:rPr>
          <w:b w:val="1"/>
          <w:color w:val="000000"/>
          <w:sz w:val="56"/>
          <w:szCs w:val="56"/>
          <w:rtl w:val="0"/>
        </w:rPr>
        <w:t xml:space="preserve">Captain Geoff Curran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At spruce lodge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Cost €30 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Date Tuesday 13thFebruary 2018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C plus standard and above 15 years and over.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Horses/ponies must be able to jump 1m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Applications to your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DC ONLY</w:t>
      </w:r>
      <w:r w:rsidDel="00000000" w:rsidR="00000000" w:rsidRPr="00000000">
        <w:rPr>
          <w:b w:val="1"/>
          <w:sz w:val="36"/>
          <w:szCs w:val="36"/>
          <w:rtl w:val="0"/>
        </w:rPr>
        <w:t xml:space="preserve"> before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Monday 5</w:t>
      </w:r>
      <w:r w:rsidDel="00000000" w:rsidR="00000000" w:rsidRPr="00000000">
        <w:rPr>
          <w:b w:val="1"/>
          <w:sz w:val="36"/>
          <w:szCs w:val="36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 February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Limited places available.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I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